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2E946" w14:textId="704FD7F7" w:rsidR="000F351C" w:rsidRPr="00723A9A" w:rsidRDefault="000F351C" w:rsidP="000F351C">
      <w:pPr>
        <w:rPr>
          <w:rFonts w:asciiTheme="majorHAnsi" w:eastAsiaTheme="majorEastAsia" w:hAnsi="Calibri" w:cstheme="majorBidi"/>
          <w:b/>
          <w:color w:val="44546A" w:themeColor="text2"/>
          <w:kern w:val="24"/>
          <w:sz w:val="24"/>
          <w:szCs w:val="24"/>
        </w:rPr>
      </w:pPr>
      <w:r w:rsidRPr="00723A9A">
        <w:rPr>
          <w:rFonts w:asciiTheme="majorHAnsi" w:eastAsiaTheme="majorEastAsia" w:hAnsi="Calibri" w:cstheme="majorBidi"/>
          <w:b/>
          <w:color w:val="44546A" w:themeColor="text2"/>
          <w:kern w:val="24"/>
          <w:sz w:val="24"/>
          <w:szCs w:val="24"/>
        </w:rPr>
        <w:t>Prevent Self-Assessment Toolkit for Schools in England</w:t>
      </w:r>
      <w:r w:rsidR="00135756" w:rsidRPr="00723A9A">
        <w:rPr>
          <w:rFonts w:asciiTheme="majorHAnsi" w:eastAsiaTheme="majorEastAsia" w:hAnsi="Calibri" w:cstheme="majorBidi"/>
          <w:b/>
          <w:color w:val="44546A" w:themeColor="text2"/>
          <w:kern w:val="24"/>
          <w:sz w:val="24"/>
          <w:szCs w:val="24"/>
        </w:rPr>
        <w:t>.</w:t>
      </w:r>
    </w:p>
    <w:p w14:paraId="421D17BD" w14:textId="15EE0558" w:rsidR="00135756" w:rsidRPr="00723A9A" w:rsidRDefault="00135756" w:rsidP="000F351C">
      <w:pPr>
        <w:rPr>
          <w:rFonts w:asciiTheme="majorHAnsi" w:eastAsiaTheme="majorEastAsia" w:hAnsi="Calibri" w:cstheme="majorBidi"/>
          <w:b/>
          <w:color w:val="44546A" w:themeColor="text2"/>
          <w:kern w:val="24"/>
          <w:sz w:val="24"/>
          <w:szCs w:val="24"/>
        </w:rPr>
      </w:pPr>
    </w:p>
    <w:p w14:paraId="1417B6E8" w14:textId="278178EE" w:rsidR="00135756" w:rsidRPr="00723A9A" w:rsidRDefault="00135756" w:rsidP="00384053">
      <w:pPr>
        <w:ind w:left="360"/>
        <w:rPr>
          <w:color w:val="44546A" w:themeColor="text2"/>
        </w:rPr>
      </w:pPr>
      <w:r w:rsidRPr="00723A9A">
        <w:rPr>
          <w:rFonts w:eastAsiaTheme="minorEastAsia" w:hAnsi="Calibri"/>
          <w:color w:val="44546A" w:themeColor="text2"/>
          <w:kern w:val="24"/>
        </w:rPr>
        <w:t xml:space="preserve">The self-assessment tool is to assist schools to review how well embedded and effective their Prevent responsibilities are in advance of Ofsted inspection. It is intended to be a stand- alone resource to support schools to self-assess how well their Prevent arrangements are embedded and to identify any gaps </w:t>
      </w:r>
      <w:r w:rsidR="002914B8" w:rsidRPr="00723A9A">
        <w:rPr>
          <w:rFonts w:eastAsiaTheme="minorEastAsia" w:hAnsi="Calibri"/>
          <w:color w:val="44546A" w:themeColor="text2"/>
          <w:kern w:val="24"/>
        </w:rPr>
        <w:t>and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 weaknesses.</w:t>
      </w:r>
    </w:p>
    <w:p w14:paraId="519605FC" w14:textId="693A7C43" w:rsidR="000F351C" w:rsidRPr="00723A9A" w:rsidRDefault="00384053" w:rsidP="00384053">
      <w:pPr>
        <w:ind w:left="360"/>
        <w:rPr>
          <w:color w:val="44546A" w:themeColor="text2"/>
        </w:rPr>
      </w:pPr>
      <w:r w:rsidRPr="00723A9A">
        <w:rPr>
          <w:rFonts w:eastAsiaTheme="minorEastAsia" w:hAnsi="Calibri"/>
          <w:color w:val="44546A" w:themeColor="text2"/>
          <w:kern w:val="24"/>
        </w:rPr>
        <w:t>Please note, this is not</w:t>
      </w:r>
      <w:r w:rsidR="000F351C" w:rsidRPr="00723A9A">
        <w:rPr>
          <w:rFonts w:eastAsiaTheme="minorEastAsia" w:hAnsi="Calibri"/>
          <w:color w:val="44546A" w:themeColor="text2"/>
          <w:kern w:val="24"/>
        </w:rPr>
        <w:t xml:space="preserve"> obligatory</w:t>
      </w:r>
      <w:r w:rsidRPr="00723A9A">
        <w:rPr>
          <w:rFonts w:eastAsiaTheme="minorEastAsia" w:hAnsi="Calibri"/>
          <w:color w:val="44546A" w:themeColor="text2"/>
          <w:kern w:val="24"/>
        </w:rPr>
        <w:t>,</w:t>
      </w:r>
      <w:r w:rsidR="000F351C" w:rsidRPr="00723A9A">
        <w:rPr>
          <w:rFonts w:eastAsiaTheme="minorEastAsia" w:hAnsi="Calibri"/>
          <w:color w:val="44546A" w:themeColor="text2"/>
          <w:kern w:val="24"/>
        </w:rPr>
        <w:t xml:space="preserve"> it is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 merely</w:t>
      </w:r>
      <w:r w:rsidR="000F351C" w:rsidRPr="00723A9A">
        <w:rPr>
          <w:rFonts w:eastAsiaTheme="minorEastAsia" w:hAnsi="Calibri"/>
          <w:color w:val="44546A" w:themeColor="text2"/>
          <w:kern w:val="24"/>
        </w:rPr>
        <w:t xml:space="preserve"> a resource to support compliance with statutory requirements - but Ofsted are aware of it!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 The toolkit is </w:t>
      </w:r>
      <w:r w:rsidR="000F351C" w:rsidRPr="00723A9A">
        <w:rPr>
          <w:rFonts w:eastAsiaTheme="minorEastAsia" w:hAnsi="Calibri"/>
          <w:color w:val="44546A" w:themeColor="text2"/>
          <w:kern w:val="24"/>
        </w:rPr>
        <w:t xml:space="preserve">intended to raise standards ahead of 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an </w:t>
      </w:r>
      <w:r w:rsidR="000F351C" w:rsidRPr="00723A9A">
        <w:rPr>
          <w:rFonts w:eastAsiaTheme="minorEastAsia" w:hAnsi="Calibri"/>
          <w:color w:val="44546A" w:themeColor="text2"/>
          <w:kern w:val="24"/>
        </w:rPr>
        <w:t>Ofsted inspection</w:t>
      </w:r>
    </w:p>
    <w:p w14:paraId="037068EC" w14:textId="5ABE70D5" w:rsidR="000F351C" w:rsidRPr="00723A9A" w:rsidRDefault="000F351C" w:rsidP="00384053">
      <w:pPr>
        <w:ind w:left="360"/>
        <w:rPr>
          <w:color w:val="44546A" w:themeColor="text2"/>
        </w:rPr>
      </w:pPr>
      <w:r w:rsidRPr="00723A9A">
        <w:rPr>
          <w:rFonts w:eastAsiaTheme="minorEastAsia" w:hAnsi="Calibri"/>
          <w:color w:val="44546A" w:themeColor="text2"/>
          <w:kern w:val="24"/>
        </w:rPr>
        <w:t xml:space="preserve">Robust examination of current Prevent arrangements </w:t>
      </w:r>
      <w:r w:rsidR="00384053" w:rsidRPr="00723A9A">
        <w:rPr>
          <w:rFonts w:eastAsiaTheme="minorEastAsia" w:hAnsi="Calibri"/>
          <w:color w:val="44546A" w:themeColor="text2"/>
          <w:kern w:val="24"/>
        </w:rPr>
        <w:t>and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 collation of </w:t>
      </w:r>
      <w:r w:rsidRPr="00723A9A">
        <w:rPr>
          <w:rFonts w:eastAsiaTheme="minorEastAsia" w:hAnsi="Calibri"/>
          <w:b/>
          <w:bCs/>
          <w:color w:val="44546A" w:themeColor="text2"/>
          <w:kern w:val="24"/>
        </w:rPr>
        <w:t>EVIDENCE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 supporting effectiveness </w:t>
      </w:r>
      <w:r w:rsidRPr="00723A9A">
        <w:rPr>
          <w:rFonts w:eastAsiaTheme="minorEastAsia" w:hAnsi="Calibri"/>
          <w:b/>
          <w:bCs/>
          <w:color w:val="44546A" w:themeColor="text2"/>
          <w:kern w:val="24"/>
        </w:rPr>
        <w:t>WILL</w:t>
      </w:r>
      <w:r w:rsidRPr="00723A9A">
        <w:rPr>
          <w:rFonts w:eastAsiaTheme="minorEastAsia" w:hAnsi="Calibri"/>
          <w:color w:val="44546A" w:themeColor="text2"/>
          <w:kern w:val="24"/>
        </w:rPr>
        <w:t xml:space="preserve"> improve standards of compliance ahead of Ofsted inspections &amp; keep learners safer</w:t>
      </w:r>
    </w:p>
    <w:p w14:paraId="6C72DCBB" w14:textId="3BEBFCCC" w:rsidR="000F351C" w:rsidRPr="00723A9A" w:rsidRDefault="00384053" w:rsidP="000F351C">
      <w:pPr>
        <w:pStyle w:val="NormalWeb"/>
        <w:spacing w:before="86" w:beforeAutospacing="0" w:after="0" w:afterAutospacing="0" w:line="216" w:lineRule="auto"/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 xml:space="preserve">       </w:t>
      </w:r>
      <w:r w:rsidR="000F351C"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The Tool deliberately mimics the Ofsted EIF to allow schools to assess:</w:t>
      </w:r>
    </w:p>
    <w:p w14:paraId="674DE55D" w14:textId="77777777" w:rsidR="00384053" w:rsidRPr="00723A9A" w:rsidRDefault="00384053" w:rsidP="000F351C">
      <w:pPr>
        <w:pStyle w:val="NormalWeb"/>
        <w:spacing w:before="86" w:beforeAutospacing="0" w:after="0" w:afterAutospacing="0" w:line="216" w:lineRule="auto"/>
        <w:rPr>
          <w:color w:val="44546A" w:themeColor="text2"/>
          <w:sz w:val="22"/>
          <w:szCs w:val="22"/>
        </w:rPr>
      </w:pPr>
    </w:p>
    <w:p w14:paraId="0D8AD897" w14:textId="77777777" w:rsidR="000F351C" w:rsidRPr="00723A9A" w:rsidRDefault="000F351C" w:rsidP="0038405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Theme="minorHAnsi" w:cstheme="minorHAnsi"/>
          <w:color w:val="44546A" w:themeColor="text2"/>
          <w:kern w:val="24"/>
          <w:sz w:val="22"/>
          <w:szCs w:val="22"/>
        </w:rPr>
        <w:t>Their level of Prevent compliance</w:t>
      </w:r>
    </w:p>
    <w:p w14:paraId="22A3C6A4" w14:textId="77777777" w:rsidR="000F351C" w:rsidRPr="00723A9A" w:rsidRDefault="000F351C" w:rsidP="0038405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Theme="minorHAnsi" w:cstheme="minorHAnsi"/>
          <w:color w:val="44546A" w:themeColor="text2"/>
          <w:kern w:val="24"/>
          <w:sz w:val="22"/>
          <w:szCs w:val="22"/>
        </w:rPr>
        <w:t>Align compliance with Ofsted’s EIF grading (1 – 4)</w:t>
      </w:r>
    </w:p>
    <w:p w14:paraId="00083462" w14:textId="1C429DBE" w:rsidR="000F351C" w:rsidRPr="00723A9A" w:rsidRDefault="000F351C" w:rsidP="0038405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Theme="minorHAnsi" w:cstheme="minorHAnsi"/>
          <w:color w:val="44546A" w:themeColor="text2"/>
          <w:kern w:val="24"/>
          <w:sz w:val="22"/>
          <w:szCs w:val="22"/>
        </w:rPr>
        <w:t xml:space="preserve">Identify gaps </w:t>
      </w:r>
      <w:r w:rsidR="002914B8" w:rsidRPr="00723A9A">
        <w:rPr>
          <w:rFonts w:asciiTheme="minorHAnsi" w:eastAsiaTheme="minorEastAsia" w:hAnsiTheme="minorHAnsi" w:cstheme="minorHAnsi"/>
          <w:color w:val="44546A" w:themeColor="text2"/>
          <w:kern w:val="24"/>
          <w:sz w:val="22"/>
          <w:szCs w:val="22"/>
        </w:rPr>
        <w:t>and</w:t>
      </w:r>
      <w:r w:rsidRPr="00723A9A">
        <w:rPr>
          <w:rFonts w:asciiTheme="minorHAnsi" w:eastAsiaTheme="minorEastAsia" w:hAnsiTheme="minorHAnsi" w:cstheme="minorHAnsi"/>
          <w:color w:val="44546A" w:themeColor="text2"/>
          <w:kern w:val="24"/>
          <w:sz w:val="22"/>
          <w:szCs w:val="22"/>
        </w:rPr>
        <w:t xml:space="preserve"> weaknesses that can be developed to improve safeguarding effectiveness</w:t>
      </w:r>
    </w:p>
    <w:p w14:paraId="55CE4CEC" w14:textId="77777777" w:rsidR="000F351C" w:rsidRPr="00723A9A" w:rsidRDefault="000F351C" w:rsidP="0038405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Theme="minorHAnsi" w:cstheme="minorHAnsi"/>
          <w:color w:val="44546A" w:themeColor="text2"/>
          <w:kern w:val="24"/>
          <w:sz w:val="22"/>
          <w:szCs w:val="22"/>
        </w:rPr>
        <w:t>Support a level of consistency in compliance with the Prevent Duty nationally</w:t>
      </w:r>
    </w:p>
    <w:p w14:paraId="04A470B1" w14:textId="0F5585FF" w:rsidR="000F351C" w:rsidRPr="00723A9A" w:rsidRDefault="00384053" w:rsidP="000F351C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There are seven d</w:t>
      </w:r>
      <w:r w:rsidR="000F351C"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istinct areas (</w:t>
      </w:r>
      <w:r w:rsidR="000F351C" w:rsidRPr="00723A9A">
        <w:rPr>
          <w:rFonts w:asciiTheme="minorHAnsi" w:eastAsiaTheme="minorEastAsia" w:hAnsi="Calibri" w:cstheme="minorBidi"/>
          <w:i/>
          <w:iCs/>
          <w:color w:val="44546A" w:themeColor="text2"/>
          <w:kern w:val="24"/>
          <w:sz w:val="22"/>
          <w:szCs w:val="22"/>
        </w:rPr>
        <w:t>requirements</w:t>
      </w:r>
      <w:r w:rsidR="000F351C"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) of judgement:</w:t>
      </w:r>
    </w:p>
    <w:p w14:paraId="5F024800" w14:textId="77777777" w:rsidR="00384053" w:rsidRPr="00723A9A" w:rsidRDefault="00384053" w:rsidP="000F351C">
      <w:pPr>
        <w:pStyle w:val="NormalWeb"/>
        <w:spacing w:before="115" w:beforeAutospacing="0" w:after="0" w:afterAutospacing="0"/>
        <w:rPr>
          <w:color w:val="44546A" w:themeColor="text2"/>
          <w:sz w:val="22"/>
          <w:szCs w:val="22"/>
        </w:rPr>
      </w:pPr>
    </w:p>
    <w:p w14:paraId="3383D745" w14:textId="77777777" w:rsidR="000F351C" w:rsidRPr="00723A9A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Leadership &amp; Management</w:t>
      </w:r>
    </w:p>
    <w:p w14:paraId="63E648E8" w14:textId="77777777" w:rsidR="000F351C" w:rsidRPr="00723A9A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Risk Assessment</w:t>
      </w:r>
    </w:p>
    <w:p w14:paraId="1487DA21" w14:textId="77777777" w:rsidR="000F351C" w:rsidRPr="00723A9A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Working in Partnership</w:t>
      </w:r>
    </w:p>
    <w:p w14:paraId="3AC7E267" w14:textId="77777777" w:rsidR="000F351C" w:rsidRPr="00723A9A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Training</w:t>
      </w:r>
    </w:p>
    <w:p w14:paraId="21456F06" w14:textId="77777777" w:rsidR="000F351C" w:rsidRPr="00723A9A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Online Safety</w:t>
      </w:r>
    </w:p>
    <w:p w14:paraId="7FC0F857" w14:textId="77777777" w:rsidR="000F351C" w:rsidRPr="00723A9A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Safeguarding School Premises</w:t>
      </w:r>
    </w:p>
    <w:p w14:paraId="41A7B4FA" w14:textId="77777777" w:rsidR="001A12A6" w:rsidRPr="001A12A6" w:rsidRDefault="000F351C" w:rsidP="000F351C">
      <w:pPr>
        <w:pStyle w:val="ListParagraph"/>
        <w:numPr>
          <w:ilvl w:val="0"/>
          <w:numId w:val="3"/>
        </w:numPr>
        <w:rPr>
          <w:color w:val="44546A" w:themeColor="text2"/>
          <w:sz w:val="22"/>
          <w:szCs w:val="22"/>
        </w:rPr>
      </w:pPr>
      <w:r w:rsidRPr="00723A9A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Building Children’s Resilience to Radicalisation</w:t>
      </w:r>
      <w:r w:rsidR="001A12A6">
        <w:rPr>
          <w:rFonts w:asciiTheme="minorHAnsi" w:eastAsiaTheme="minorEastAsia" w:hAnsi="Calibri" w:cstheme="minorBidi"/>
          <w:color w:val="44546A" w:themeColor="text2"/>
          <w:kern w:val="24"/>
          <w:sz w:val="22"/>
          <w:szCs w:val="22"/>
        </w:rPr>
        <w:t>.</w:t>
      </w:r>
    </w:p>
    <w:p w14:paraId="75245447" w14:textId="77777777" w:rsidR="001A12A6" w:rsidRDefault="001A12A6" w:rsidP="001A12A6">
      <w:pPr>
        <w:rPr>
          <w:rFonts w:eastAsiaTheme="minorEastAsia" w:hAnsi="Calibri"/>
          <w:color w:val="44546A" w:themeColor="text2"/>
          <w:kern w:val="24"/>
        </w:rPr>
      </w:pPr>
    </w:p>
    <w:p w14:paraId="1F018AA0" w14:textId="77777777" w:rsidR="001A12A6" w:rsidRDefault="001A12A6" w:rsidP="001A12A6">
      <w:pPr>
        <w:rPr>
          <w:rFonts w:eastAsiaTheme="minorEastAsia" w:hAnsi="Calibri"/>
          <w:color w:val="44546A" w:themeColor="text2"/>
          <w:kern w:val="24"/>
        </w:rPr>
      </w:pPr>
      <w:r>
        <w:rPr>
          <w:rFonts w:eastAsiaTheme="minorEastAsia" w:hAnsi="Calibri"/>
          <w:color w:val="44546A" w:themeColor="text2"/>
          <w:kern w:val="24"/>
        </w:rPr>
        <w:t>Please find attached the following documents:</w:t>
      </w:r>
    </w:p>
    <w:p w14:paraId="29042688" w14:textId="7D1E7E33" w:rsidR="000F351C" w:rsidRPr="001E0E62" w:rsidRDefault="001A12A6" w:rsidP="001A12A6">
      <w:pPr>
        <w:rPr>
          <w:rFonts w:eastAsiaTheme="minorEastAsia" w:hAnsi="Calibri"/>
          <w:color w:val="FF0000"/>
          <w:kern w:val="24"/>
        </w:rPr>
      </w:pPr>
      <w:r w:rsidRPr="008F465C">
        <w:rPr>
          <w:rFonts w:eastAsiaTheme="minorEastAsia" w:hAnsi="Calibri"/>
          <w:b/>
          <w:color w:val="44546A" w:themeColor="text2"/>
          <w:kern w:val="24"/>
          <w:sz w:val="24"/>
          <w:szCs w:val="24"/>
        </w:rPr>
        <w:t xml:space="preserve">1] </w:t>
      </w:r>
      <w:r w:rsidR="00A54D69" w:rsidRPr="008F465C">
        <w:rPr>
          <w:rFonts w:eastAsiaTheme="minorEastAsia" w:hAnsi="Calibri"/>
          <w:b/>
          <w:color w:val="44546A" w:themeColor="text2"/>
          <w:kern w:val="24"/>
          <w:sz w:val="24"/>
          <w:szCs w:val="24"/>
        </w:rPr>
        <w:t>School Assessment Tool – excel</w:t>
      </w:r>
      <w:r w:rsidR="00CE40C1">
        <w:rPr>
          <w:rFonts w:eastAsiaTheme="minorEastAsia" w:hAnsi="Calibri"/>
          <w:color w:val="44546A" w:themeColor="text2"/>
          <w:kern w:val="24"/>
        </w:rPr>
        <w:t xml:space="preserve"> (</w:t>
      </w:r>
      <w:bookmarkStart w:id="0" w:name="_GoBack"/>
      <w:r w:rsidR="00D1094A" w:rsidRPr="001E0E62">
        <w:rPr>
          <w:rFonts w:eastAsiaTheme="minorEastAsia" w:hAnsi="Calibri"/>
          <w:color w:val="FF0000"/>
          <w:kern w:val="24"/>
        </w:rPr>
        <w:t>NB.</w:t>
      </w:r>
      <w:r w:rsidR="00CE40C1" w:rsidRPr="001E0E62">
        <w:rPr>
          <w:rFonts w:eastAsiaTheme="minorEastAsia" w:hAnsi="Calibri"/>
          <w:color w:val="FF0000"/>
          <w:kern w:val="24"/>
        </w:rPr>
        <w:t xml:space="preserve"> THERE ARE TWO TABS, ONE BEING THE ASSESSMENT ITSELF AND </w:t>
      </w:r>
      <w:r w:rsidR="00D1094A" w:rsidRPr="001E0E62">
        <w:rPr>
          <w:rFonts w:eastAsiaTheme="minorEastAsia" w:hAnsi="Calibri"/>
          <w:color w:val="FF0000"/>
          <w:kern w:val="24"/>
        </w:rPr>
        <w:t>A</w:t>
      </w:r>
      <w:r w:rsidR="00CE40C1" w:rsidRPr="001E0E62">
        <w:rPr>
          <w:rFonts w:eastAsiaTheme="minorEastAsia" w:hAnsi="Calibri"/>
          <w:color w:val="FF0000"/>
          <w:kern w:val="24"/>
        </w:rPr>
        <w:t xml:space="preserve"> SECOND ENTITLED</w:t>
      </w:r>
      <w:r w:rsidR="00046418" w:rsidRPr="001E0E62">
        <w:rPr>
          <w:rFonts w:eastAsiaTheme="minorEastAsia" w:hAnsi="Calibri"/>
          <w:color w:val="FF0000"/>
          <w:kern w:val="24"/>
        </w:rPr>
        <w:t xml:space="preserve"> ‘FURTHER SUPPORT LINKS</w:t>
      </w:r>
      <w:r w:rsidR="00D930E1" w:rsidRPr="001E0E62">
        <w:rPr>
          <w:rFonts w:eastAsiaTheme="minorEastAsia" w:hAnsi="Calibri"/>
          <w:color w:val="FF0000"/>
          <w:kern w:val="24"/>
        </w:rPr>
        <w:t>’</w:t>
      </w:r>
      <w:r w:rsidR="00046418" w:rsidRPr="001E0E62">
        <w:rPr>
          <w:rFonts w:eastAsiaTheme="minorEastAsia" w:hAnsi="Calibri"/>
          <w:color w:val="FF0000"/>
          <w:kern w:val="24"/>
        </w:rPr>
        <w:t>. THERE IS A HUGE AMOUNT OF INFORMATION AVAILABLE HERE).</w:t>
      </w:r>
      <w:r w:rsidR="000F351C" w:rsidRPr="001E0E62">
        <w:rPr>
          <w:rFonts w:eastAsiaTheme="minorEastAsia" w:hAnsi="Calibri"/>
          <w:color w:val="FF0000"/>
          <w:kern w:val="24"/>
        </w:rPr>
        <w:t xml:space="preserve"> </w:t>
      </w:r>
    </w:p>
    <w:bookmarkEnd w:id="0"/>
    <w:p w14:paraId="1ABFCEBC" w14:textId="47153D2F" w:rsidR="008F465C" w:rsidRDefault="005F5559" w:rsidP="008F465C">
      <w:pPr>
        <w:rPr>
          <w:b/>
          <w:color w:val="44546A" w:themeColor="text2"/>
          <w:sz w:val="24"/>
          <w:szCs w:val="24"/>
        </w:rPr>
      </w:pPr>
      <w:r w:rsidRPr="008F465C">
        <w:rPr>
          <w:b/>
          <w:color w:val="44546A" w:themeColor="text2"/>
          <w:sz w:val="24"/>
          <w:szCs w:val="24"/>
        </w:rPr>
        <w:t xml:space="preserve">2] </w:t>
      </w:r>
      <w:r w:rsidR="008F465C" w:rsidRPr="008F465C">
        <w:rPr>
          <w:b/>
          <w:color w:val="44546A" w:themeColor="text2"/>
          <w:sz w:val="24"/>
          <w:szCs w:val="24"/>
        </w:rPr>
        <w:t>Guidance – How to use the Self-Assessment Tool.</w:t>
      </w:r>
    </w:p>
    <w:p w14:paraId="14D90A05" w14:textId="2F4270CB" w:rsidR="008F465C" w:rsidRPr="008F465C" w:rsidRDefault="008F465C" w:rsidP="008F465C">
      <w:pPr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en-GB"/>
        </w:rPr>
      </w:pPr>
      <w:r>
        <w:rPr>
          <w:b/>
          <w:color w:val="44546A" w:themeColor="text2"/>
          <w:sz w:val="24"/>
          <w:szCs w:val="24"/>
        </w:rPr>
        <w:t xml:space="preserve">3] </w:t>
      </w:r>
      <w:r w:rsidR="00123644">
        <w:rPr>
          <w:b/>
          <w:color w:val="44546A" w:themeColor="text2"/>
          <w:sz w:val="24"/>
          <w:szCs w:val="24"/>
        </w:rPr>
        <w:t>PPT – How to use the self-Assessment Tool.</w:t>
      </w:r>
    </w:p>
    <w:p w14:paraId="01EB0646" w14:textId="77777777" w:rsidR="00803B35" w:rsidRDefault="00803B35">
      <w:pPr>
        <w:rPr>
          <w:color w:val="44546A" w:themeColor="text2"/>
        </w:rPr>
      </w:pPr>
    </w:p>
    <w:p w14:paraId="3A13380D" w14:textId="77777777" w:rsidR="000774D1" w:rsidRDefault="0044177D">
      <w:pPr>
        <w:rPr>
          <w:color w:val="44546A" w:themeColor="text2"/>
        </w:rPr>
      </w:pPr>
      <w:r w:rsidRPr="00723A9A">
        <w:rPr>
          <w:color w:val="44546A" w:themeColor="text2"/>
        </w:rPr>
        <w:t>Hopefully</w:t>
      </w:r>
      <w:r w:rsidR="00CF5CF9">
        <w:rPr>
          <w:color w:val="44546A" w:themeColor="text2"/>
        </w:rPr>
        <w:t xml:space="preserve"> and</w:t>
      </w:r>
      <w:r w:rsidRPr="00723A9A">
        <w:rPr>
          <w:color w:val="44546A" w:themeColor="text2"/>
        </w:rPr>
        <w:t xml:space="preserve"> by working through the attached documents </w:t>
      </w:r>
      <w:r w:rsidR="00CF5CF9">
        <w:rPr>
          <w:color w:val="44546A" w:themeColor="text2"/>
        </w:rPr>
        <w:t>navigating and completing</w:t>
      </w:r>
      <w:r w:rsidRPr="00723A9A">
        <w:rPr>
          <w:color w:val="44546A" w:themeColor="text2"/>
        </w:rPr>
        <w:t xml:space="preserve"> the self-Assessment Toolkit should be relatively self-explanatory and as already mentioned completion of the document is </w:t>
      </w:r>
      <w:r w:rsidR="002F168F">
        <w:rPr>
          <w:color w:val="44546A" w:themeColor="text2"/>
        </w:rPr>
        <w:t>in no way</w:t>
      </w:r>
      <w:r w:rsidRPr="00723A9A">
        <w:rPr>
          <w:color w:val="44546A" w:themeColor="text2"/>
        </w:rPr>
        <w:t xml:space="preserve"> compulsory </w:t>
      </w:r>
      <w:r w:rsidR="002F168F">
        <w:rPr>
          <w:color w:val="44546A" w:themeColor="text2"/>
        </w:rPr>
        <w:t>but</w:t>
      </w:r>
      <w:r w:rsidRPr="00723A9A">
        <w:rPr>
          <w:color w:val="44546A" w:themeColor="text2"/>
        </w:rPr>
        <w:t xml:space="preserve"> merely a resource</w:t>
      </w:r>
      <w:r w:rsidR="002F168F">
        <w:rPr>
          <w:color w:val="44546A" w:themeColor="text2"/>
        </w:rPr>
        <w:t xml:space="preserve"> – and an extremely useful one at that </w:t>
      </w:r>
      <w:r w:rsidR="000774D1">
        <w:rPr>
          <w:color w:val="44546A" w:themeColor="text2"/>
        </w:rPr>
        <w:t>–</w:t>
      </w:r>
      <w:r w:rsidR="002F168F">
        <w:rPr>
          <w:color w:val="44546A" w:themeColor="text2"/>
        </w:rPr>
        <w:t xml:space="preserve"> </w:t>
      </w:r>
      <w:r w:rsidR="000774D1">
        <w:rPr>
          <w:color w:val="44546A" w:themeColor="text2"/>
        </w:rPr>
        <w:t xml:space="preserve">to assist schools </w:t>
      </w:r>
      <w:r w:rsidRPr="00723A9A">
        <w:rPr>
          <w:color w:val="44546A" w:themeColor="text2"/>
        </w:rPr>
        <w:t>in ensuring compliancy with ‘The Prevent Duty in Schools’.</w:t>
      </w:r>
      <w:r w:rsidR="00CF5CF9">
        <w:rPr>
          <w:color w:val="44546A" w:themeColor="text2"/>
        </w:rPr>
        <w:t xml:space="preserve"> </w:t>
      </w:r>
    </w:p>
    <w:p w14:paraId="5E0CF0FE" w14:textId="654D688E" w:rsidR="0044177D" w:rsidRPr="00723A9A" w:rsidRDefault="00CF5CF9">
      <w:pPr>
        <w:rPr>
          <w:color w:val="44546A" w:themeColor="text2"/>
        </w:rPr>
      </w:pPr>
      <w:r>
        <w:rPr>
          <w:color w:val="44546A" w:themeColor="text2"/>
        </w:rPr>
        <w:t xml:space="preserve">Also, once completed </w:t>
      </w:r>
      <w:r w:rsidR="000774D1">
        <w:rPr>
          <w:color w:val="44546A" w:themeColor="text2"/>
        </w:rPr>
        <w:t xml:space="preserve">the self-assessment toll </w:t>
      </w:r>
      <w:r>
        <w:rPr>
          <w:color w:val="44546A" w:themeColor="text2"/>
        </w:rPr>
        <w:t xml:space="preserve">may not require any further updating for a </w:t>
      </w:r>
      <w:r w:rsidR="0027568D">
        <w:rPr>
          <w:color w:val="44546A" w:themeColor="text2"/>
        </w:rPr>
        <w:t>few</w:t>
      </w:r>
      <w:r w:rsidR="002F168F">
        <w:rPr>
          <w:color w:val="44546A" w:themeColor="text2"/>
        </w:rPr>
        <w:t xml:space="preserve"> </w:t>
      </w:r>
      <w:r>
        <w:rPr>
          <w:color w:val="44546A" w:themeColor="text2"/>
        </w:rPr>
        <w:t>years.</w:t>
      </w:r>
    </w:p>
    <w:sectPr w:rsidR="0044177D" w:rsidRPr="00723A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334"/>
    <w:multiLevelType w:val="hybridMultilevel"/>
    <w:tmpl w:val="8CF88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60699"/>
    <w:multiLevelType w:val="hybridMultilevel"/>
    <w:tmpl w:val="A198F1D6"/>
    <w:lvl w:ilvl="0" w:tplc="4E407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0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6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8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8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E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44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C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7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53B50"/>
    <w:multiLevelType w:val="hybridMultilevel"/>
    <w:tmpl w:val="3F482B02"/>
    <w:lvl w:ilvl="0" w:tplc="3306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2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0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E3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826EA9"/>
    <w:multiLevelType w:val="hybridMultilevel"/>
    <w:tmpl w:val="1992698C"/>
    <w:lvl w:ilvl="0" w:tplc="BFAEF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8F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E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08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61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4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6C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B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C"/>
    <w:rsid w:val="00037B78"/>
    <w:rsid w:val="00046418"/>
    <w:rsid w:val="000774D1"/>
    <w:rsid w:val="000F351C"/>
    <w:rsid w:val="00123644"/>
    <w:rsid w:val="00135756"/>
    <w:rsid w:val="001A12A6"/>
    <w:rsid w:val="001E0E62"/>
    <w:rsid w:val="0027568D"/>
    <w:rsid w:val="002914B8"/>
    <w:rsid w:val="002F168F"/>
    <w:rsid w:val="00384053"/>
    <w:rsid w:val="0044177D"/>
    <w:rsid w:val="005F5559"/>
    <w:rsid w:val="00723A9A"/>
    <w:rsid w:val="00803B35"/>
    <w:rsid w:val="008656B5"/>
    <w:rsid w:val="008F465C"/>
    <w:rsid w:val="00A54D69"/>
    <w:rsid w:val="00C10ED8"/>
    <w:rsid w:val="00CE40C1"/>
    <w:rsid w:val="00CF5CF9"/>
    <w:rsid w:val="00D1094A"/>
    <w:rsid w:val="00D82195"/>
    <w:rsid w:val="00D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7369"/>
  <w15:chartTrackingRefBased/>
  <w15:docId w15:val="{F23DAEE7-A2EC-4DDE-B60B-C985C9F9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46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8F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CBA9BF9632E42B79EAE9BC05B425A" ma:contentTypeVersion="14" ma:contentTypeDescription="Create a new document." ma:contentTypeScope="" ma:versionID="3b01336558f4b7eab3f3b6bab0282455">
  <xsd:schema xmlns:xsd="http://www.w3.org/2001/XMLSchema" xmlns:xs="http://www.w3.org/2001/XMLSchema" xmlns:p="http://schemas.microsoft.com/office/2006/metadata/properties" xmlns:ns3="eea9783d-28d5-4cc0-a06d-9dd3fecb7142" xmlns:ns4="99aaf6d9-31b3-4d63-bb73-41bc76350541" targetNamespace="http://schemas.microsoft.com/office/2006/metadata/properties" ma:root="true" ma:fieldsID="f936076d77af6b52595d6ffb8c73fa7f" ns3:_="" ns4:_="">
    <xsd:import namespace="eea9783d-28d5-4cc0-a06d-9dd3fecb7142"/>
    <xsd:import namespace="99aaf6d9-31b3-4d63-bb73-41bc76350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783d-28d5-4cc0-a06d-9dd3fecb7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f6d9-31b3-4d63-bb73-41bc76350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43A73-1658-4E1E-A3FF-86D570BD9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783d-28d5-4cc0-a06d-9dd3fecb7142"/>
    <ds:schemaRef ds:uri="99aaf6d9-31b3-4d63-bb73-41bc7635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8A989-3672-4BA8-9147-B7EDE48B9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40E2C-A00C-494C-AD9D-2A77A55D3A19}">
  <ds:schemaRefs>
    <ds:schemaRef ds:uri="http://purl.org/dc/terms/"/>
    <ds:schemaRef ds:uri="http://schemas.openxmlformats.org/package/2006/metadata/core-properties"/>
    <ds:schemaRef ds:uri="http://purl.org/dc/dcmitype/"/>
    <ds:schemaRef ds:uri="99aaf6d9-31b3-4d63-bb73-41bc7635054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ea9783d-28d5-4cc0-a06d-9dd3fecb71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Markham</dc:creator>
  <cp:keywords/>
  <dc:description/>
  <cp:lastModifiedBy>Niall Markham</cp:lastModifiedBy>
  <cp:revision>5</cp:revision>
  <dcterms:created xsi:type="dcterms:W3CDTF">2023-02-20T13:44:00Z</dcterms:created>
  <dcterms:modified xsi:type="dcterms:W3CDTF">2023-02-20T13:54:00Z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0x010100C9FCBA9BF9632E42B79EAE9BC05B425A</vt:lpwstr>
  </property>
</Properties>
</file>